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Tal Rosenblum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Intelligent Workflow Journal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Digitally Mediated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Intelligent Workflow Journal is intended to track what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is being accomplished on the computer, visually reporting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it to the user when requested. This empowers the worker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to visually experience their thought process anytime during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their work. At the end of the day, the user can request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visual-story of what they have done to use as their personal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journal. The Intelligent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Workflow Journal also ranks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worker providing a reflective feedback on how the user can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improve their workflow. These rankings will be intelligent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because they will be calculated from the workflow trends of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user.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